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2D" w:rsidRDefault="0080122D" w:rsidP="00B423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42332" w:rsidRDefault="002325B6" w:rsidP="004A4B79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 commercial production of c</w:t>
      </w:r>
      <w:r w:rsidR="0080122D">
        <w:rPr>
          <w:rFonts w:ascii="Arial" w:hAnsi="Arial" w:cs="Arial"/>
          <w:sz w:val="22"/>
          <w:szCs w:val="22"/>
        </w:rPr>
        <w:t>oal seam gas</w:t>
      </w:r>
      <w:r w:rsidR="00B42332">
        <w:rPr>
          <w:rFonts w:ascii="Arial" w:hAnsi="Arial" w:cs="Arial"/>
          <w:sz w:val="22"/>
          <w:szCs w:val="22"/>
        </w:rPr>
        <w:t xml:space="preserve"> (CSG)</w:t>
      </w:r>
      <w:r w:rsidR="0080122D" w:rsidRPr="003F517C">
        <w:rPr>
          <w:rFonts w:ascii="Arial" w:hAnsi="Arial" w:cs="Arial"/>
          <w:sz w:val="22"/>
          <w:szCs w:val="22"/>
        </w:rPr>
        <w:t xml:space="preserve"> in </w:t>
      </w:r>
      <w:smartTag w:uri="urn:schemas-microsoft-com:office:smarttags" w:element="State">
        <w:smartTag w:uri="urn:schemas-microsoft-com:office:smarttags" w:element="place">
          <w:r w:rsidR="0080122D" w:rsidRPr="003F517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80122D" w:rsidRPr="003F5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occurred at Moura </w:t>
      </w:r>
      <w:r w:rsidR="0080122D" w:rsidRPr="003F517C">
        <w:rPr>
          <w:rFonts w:ascii="Arial" w:hAnsi="Arial" w:cs="Arial"/>
          <w:sz w:val="22"/>
          <w:szCs w:val="22"/>
        </w:rPr>
        <w:t xml:space="preserve">in </w:t>
      </w:r>
      <w:r w:rsidRPr="003F517C">
        <w:rPr>
          <w:rFonts w:ascii="Arial" w:hAnsi="Arial" w:cs="Arial"/>
          <w:sz w:val="22"/>
          <w:szCs w:val="22"/>
        </w:rPr>
        <w:t>199</w:t>
      </w:r>
      <w:r>
        <w:rPr>
          <w:rFonts w:ascii="Arial" w:hAnsi="Arial" w:cs="Arial"/>
          <w:sz w:val="22"/>
          <w:szCs w:val="22"/>
        </w:rPr>
        <w:t>6</w:t>
      </w:r>
      <w:r w:rsidR="005476CB">
        <w:rPr>
          <w:rFonts w:ascii="Arial" w:hAnsi="Arial" w:cs="Arial"/>
          <w:sz w:val="22"/>
          <w:szCs w:val="22"/>
        </w:rPr>
        <w:t>.</w:t>
      </w:r>
      <w:r w:rsidR="0080122D" w:rsidRPr="003F517C">
        <w:rPr>
          <w:rFonts w:ascii="Arial" w:hAnsi="Arial" w:cs="Arial"/>
          <w:sz w:val="22"/>
          <w:szCs w:val="22"/>
        </w:rPr>
        <w:t xml:space="preserve"> </w:t>
      </w:r>
      <w:r w:rsidR="005476CB">
        <w:rPr>
          <w:rFonts w:ascii="Arial" w:hAnsi="Arial" w:cs="Arial"/>
          <w:sz w:val="22"/>
          <w:szCs w:val="22"/>
        </w:rPr>
        <w:t>S</w:t>
      </w:r>
      <w:r w:rsidR="0080122D" w:rsidRPr="003F517C">
        <w:rPr>
          <w:rFonts w:ascii="Arial" w:hAnsi="Arial" w:cs="Arial"/>
          <w:sz w:val="22"/>
          <w:szCs w:val="22"/>
        </w:rPr>
        <w:t xml:space="preserve">ince then the industry has experienced remarkable growth, </w:t>
      </w:r>
      <w:r w:rsidR="005476CB">
        <w:rPr>
          <w:rFonts w:ascii="Arial" w:hAnsi="Arial" w:cs="Arial"/>
          <w:sz w:val="22"/>
          <w:szCs w:val="22"/>
        </w:rPr>
        <w:t>with considerable investment in the development of</w:t>
      </w:r>
      <w:r w:rsidR="00B42332">
        <w:rPr>
          <w:rFonts w:ascii="Arial" w:hAnsi="Arial" w:cs="Arial"/>
          <w:sz w:val="22"/>
          <w:szCs w:val="22"/>
        </w:rPr>
        <w:t xml:space="preserve"> </w:t>
      </w:r>
      <w:r w:rsidR="005476CB">
        <w:rPr>
          <w:rFonts w:ascii="Arial" w:hAnsi="Arial" w:cs="Arial"/>
          <w:sz w:val="22"/>
          <w:szCs w:val="22"/>
        </w:rPr>
        <w:t xml:space="preserve">the State’s extensive </w:t>
      </w:r>
      <w:r w:rsidR="00B42332">
        <w:rPr>
          <w:rFonts w:ascii="Arial" w:hAnsi="Arial" w:cs="Arial"/>
          <w:sz w:val="22"/>
          <w:szCs w:val="22"/>
        </w:rPr>
        <w:t>CSG resources</w:t>
      </w:r>
      <w:r w:rsidR="0080122D">
        <w:rPr>
          <w:rFonts w:ascii="Arial" w:hAnsi="Arial" w:cs="Arial"/>
          <w:sz w:val="22"/>
          <w:szCs w:val="22"/>
        </w:rPr>
        <w:t xml:space="preserve"> </w:t>
      </w:r>
      <w:r w:rsidR="005476CB">
        <w:rPr>
          <w:rFonts w:ascii="Arial" w:hAnsi="Arial" w:cs="Arial"/>
          <w:sz w:val="22"/>
          <w:szCs w:val="22"/>
        </w:rPr>
        <w:t>leading to the emergence</w:t>
      </w:r>
      <w:r w:rsidR="0080122D">
        <w:rPr>
          <w:rFonts w:ascii="Arial" w:hAnsi="Arial" w:cs="Arial"/>
          <w:sz w:val="22"/>
          <w:szCs w:val="22"/>
        </w:rPr>
        <w:t xml:space="preserve"> </w:t>
      </w:r>
      <w:r w:rsidR="005476CB">
        <w:rPr>
          <w:rFonts w:ascii="Arial" w:hAnsi="Arial" w:cs="Arial"/>
          <w:sz w:val="22"/>
          <w:szCs w:val="22"/>
        </w:rPr>
        <w:t xml:space="preserve">of the proposed </w:t>
      </w:r>
      <w:r w:rsidR="0080122D">
        <w:rPr>
          <w:rFonts w:ascii="Arial" w:hAnsi="Arial" w:cs="Arial"/>
          <w:sz w:val="22"/>
          <w:szCs w:val="22"/>
        </w:rPr>
        <w:t>Liquefied Natural Gas</w:t>
      </w:r>
      <w:r w:rsidR="00B42332">
        <w:rPr>
          <w:rFonts w:ascii="Arial" w:hAnsi="Arial" w:cs="Arial"/>
          <w:sz w:val="22"/>
          <w:szCs w:val="22"/>
        </w:rPr>
        <w:t xml:space="preserve"> (LNG)</w:t>
      </w:r>
      <w:r w:rsidR="0080122D">
        <w:rPr>
          <w:rFonts w:ascii="Arial" w:hAnsi="Arial" w:cs="Arial"/>
          <w:sz w:val="22"/>
          <w:szCs w:val="22"/>
        </w:rPr>
        <w:t xml:space="preserve"> </w:t>
      </w:r>
      <w:r w:rsidR="005476CB">
        <w:rPr>
          <w:rFonts w:ascii="Arial" w:hAnsi="Arial" w:cs="Arial"/>
          <w:sz w:val="22"/>
          <w:szCs w:val="22"/>
        </w:rPr>
        <w:t xml:space="preserve">export industry </w:t>
      </w:r>
      <w:r w:rsidR="0080122D">
        <w:rPr>
          <w:rFonts w:ascii="Arial" w:hAnsi="Arial" w:cs="Arial"/>
          <w:sz w:val="22"/>
          <w:szCs w:val="22"/>
        </w:rPr>
        <w:t xml:space="preserve">to be based in </w:t>
      </w:r>
      <w:smartTag w:uri="urn:schemas-microsoft-com:office:smarttags" w:element="City">
        <w:smartTag w:uri="urn:schemas-microsoft-com:office:smarttags" w:element="place">
          <w:r w:rsidR="0080122D">
            <w:rPr>
              <w:rFonts w:ascii="Arial" w:hAnsi="Arial" w:cs="Arial"/>
              <w:sz w:val="22"/>
              <w:szCs w:val="22"/>
            </w:rPr>
            <w:t>Gladstone</w:t>
          </w:r>
        </w:smartTag>
      </w:smartTag>
      <w:r w:rsidR="0080122D">
        <w:rPr>
          <w:rFonts w:ascii="Arial" w:hAnsi="Arial" w:cs="Arial"/>
          <w:sz w:val="22"/>
          <w:szCs w:val="22"/>
        </w:rPr>
        <w:t xml:space="preserve">. </w:t>
      </w:r>
    </w:p>
    <w:p w:rsidR="00B42332" w:rsidRDefault="00B42332" w:rsidP="004A4B79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0122D" w:rsidRDefault="005476CB" w:rsidP="004A4B79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Partly as a result of the emerging LNG industry, m</w:t>
      </w:r>
      <w:r w:rsidR="0080122D">
        <w:rPr>
          <w:rFonts w:ascii="Arial" w:hAnsi="Arial" w:cs="Arial"/>
          <w:sz w:val="22"/>
          <w:szCs w:val="22"/>
        </w:rPr>
        <w:t>ajor gas users th</w:t>
      </w:r>
      <w:r>
        <w:rPr>
          <w:rFonts w:ascii="Arial" w:hAnsi="Arial" w:cs="Arial"/>
          <w:sz w:val="22"/>
          <w:szCs w:val="22"/>
        </w:rPr>
        <w:t>r</w:t>
      </w:r>
      <w:r w:rsidR="0080122D">
        <w:rPr>
          <w:rFonts w:ascii="Arial" w:hAnsi="Arial" w:cs="Arial"/>
          <w:sz w:val="22"/>
          <w:szCs w:val="22"/>
        </w:rPr>
        <w:t>ough</w:t>
      </w:r>
      <w:r>
        <w:rPr>
          <w:rFonts w:ascii="Arial" w:hAnsi="Arial" w:cs="Arial"/>
          <w:sz w:val="22"/>
          <w:szCs w:val="22"/>
        </w:rPr>
        <w:t>ou</w:t>
      </w:r>
      <w:r w:rsidR="0080122D">
        <w:rPr>
          <w:rFonts w:ascii="Arial" w:hAnsi="Arial" w:cs="Arial"/>
          <w:sz w:val="22"/>
          <w:szCs w:val="22"/>
        </w:rPr>
        <w:t xml:space="preserve">t </w:t>
      </w:r>
      <w:smartTag w:uri="urn:schemas-microsoft-com:office:smarttags" w:element="country-region">
        <w:r w:rsidR="0080122D">
          <w:rPr>
            <w:rFonts w:ascii="Arial" w:hAnsi="Arial" w:cs="Arial"/>
            <w:sz w:val="22"/>
            <w:szCs w:val="22"/>
          </w:rPr>
          <w:t>Australia</w:t>
        </w:r>
      </w:smartTag>
      <w:r w:rsidR="00B42332">
        <w:rPr>
          <w:rFonts w:ascii="Arial" w:hAnsi="Arial" w:cs="Arial"/>
          <w:sz w:val="22"/>
          <w:szCs w:val="22"/>
        </w:rPr>
        <w:t>,</w:t>
      </w:r>
      <w:r w:rsidR="0080122D">
        <w:rPr>
          <w:rFonts w:ascii="Arial" w:hAnsi="Arial" w:cs="Arial"/>
          <w:sz w:val="22"/>
          <w:szCs w:val="22"/>
        </w:rPr>
        <w:t xml:space="preserve"> particularly in </w:t>
      </w:r>
      <w:smartTag w:uri="urn:schemas-microsoft-com:office:smarttags" w:element="State">
        <w:smartTag w:uri="urn:schemas-microsoft-com:office:smarttags" w:element="place">
          <w:r w:rsidR="0080122D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,</w:t>
      </w:r>
      <w:r w:rsidR="0080122D">
        <w:rPr>
          <w:rFonts w:ascii="Arial" w:hAnsi="Arial" w:cs="Arial"/>
          <w:sz w:val="22"/>
          <w:szCs w:val="22"/>
        </w:rPr>
        <w:t xml:space="preserve"> have expressed concerns regarding the lack of availability of competitively priced </w:t>
      </w:r>
      <w:r>
        <w:rPr>
          <w:rFonts w:ascii="Arial" w:hAnsi="Arial" w:cs="Arial"/>
          <w:sz w:val="22"/>
          <w:szCs w:val="22"/>
        </w:rPr>
        <w:t xml:space="preserve">long-term </w:t>
      </w:r>
      <w:r w:rsidR="0080122D">
        <w:rPr>
          <w:rFonts w:ascii="Arial" w:hAnsi="Arial" w:cs="Arial"/>
          <w:sz w:val="22"/>
          <w:szCs w:val="22"/>
        </w:rPr>
        <w:t xml:space="preserve">gas contracts. </w:t>
      </w:r>
      <w:r w:rsidR="00D51DF6">
        <w:rPr>
          <w:rFonts w:ascii="Arial" w:hAnsi="Arial" w:cs="Arial"/>
          <w:sz w:val="22"/>
          <w:szCs w:val="22"/>
        </w:rPr>
        <w:t>Some users are of the view that the development of gas reserves to support LNG projects will lead to reduced supply for the domestic market.</w:t>
      </w:r>
    </w:p>
    <w:p w:rsidR="0080122D" w:rsidRDefault="0080122D" w:rsidP="004A4B79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0122D" w:rsidRDefault="00000495" w:rsidP="004A4B79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97DC8">
        <w:rPr>
          <w:rFonts w:ascii="Arial" w:hAnsi="Arial" w:cs="Arial"/>
          <w:sz w:val="22"/>
          <w:szCs w:val="22"/>
        </w:rPr>
        <w:t xml:space="preserve">Government </w:t>
      </w:r>
      <w:r w:rsidR="0080122D">
        <w:rPr>
          <w:rFonts w:ascii="Arial" w:hAnsi="Arial" w:cs="Arial"/>
          <w:sz w:val="22"/>
          <w:szCs w:val="22"/>
        </w:rPr>
        <w:t xml:space="preserve">committed to addressing the issue of security of supply for </w:t>
      </w:r>
      <w:r w:rsidR="00A97DC8">
        <w:rPr>
          <w:rFonts w:ascii="Arial" w:hAnsi="Arial" w:cs="Arial"/>
          <w:sz w:val="22"/>
          <w:szCs w:val="22"/>
        </w:rPr>
        <w:t>domestic</w:t>
      </w:r>
      <w:r w:rsidR="0080122D">
        <w:rPr>
          <w:rFonts w:ascii="Arial" w:hAnsi="Arial" w:cs="Arial"/>
          <w:sz w:val="22"/>
          <w:szCs w:val="22"/>
        </w:rPr>
        <w:t xml:space="preserve"> users as part of its </w:t>
      </w:r>
      <w:r w:rsidR="0080122D">
        <w:rPr>
          <w:rFonts w:ascii="Arial" w:hAnsi="Arial" w:cs="Arial"/>
          <w:i/>
          <w:sz w:val="22"/>
          <w:szCs w:val="22"/>
        </w:rPr>
        <w:t xml:space="preserve">Blueprint for Queensland’s </w:t>
      </w:r>
      <w:r w:rsidR="0080122D" w:rsidRPr="00FB0FEB">
        <w:rPr>
          <w:rFonts w:ascii="Arial" w:hAnsi="Arial" w:cs="Arial"/>
          <w:i/>
          <w:sz w:val="22"/>
          <w:szCs w:val="22"/>
        </w:rPr>
        <w:t xml:space="preserve">Liquefied Natural Gas </w:t>
      </w:r>
      <w:r w:rsidR="0080122D">
        <w:rPr>
          <w:rFonts w:ascii="Arial" w:hAnsi="Arial" w:cs="Arial"/>
          <w:i/>
          <w:sz w:val="22"/>
          <w:szCs w:val="22"/>
        </w:rPr>
        <w:t>Industry</w:t>
      </w:r>
      <w:r>
        <w:rPr>
          <w:rFonts w:ascii="Arial" w:hAnsi="Arial" w:cs="Arial"/>
          <w:sz w:val="22"/>
          <w:szCs w:val="22"/>
        </w:rPr>
        <w:t>, released</w:t>
      </w:r>
      <w:r w:rsidR="00A97DC8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r w:rsidR="0080122D">
        <w:rPr>
          <w:rFonts w:ascii="Arial" w:hAnsi="Arial" w:cs="Arial"/>
          <w:sz w:val="22"/>
          <w:szCs w:val="22"/>
        </w:rPr>
        <w:t>17</w:t>
      </w:r>
      <w:r w:rsidR="0080122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0122D">
        <w:rPr>
          <w:rFonts w:ascii="Arial" w:hAnsi="Arial" w:cs="Arial"/>
          <w:sz w:val="22"/>
          <w:szCs w:val="22"/>
        </w:rPr>
        <w:t>September 2009.</w:t>
      </w:r>
      <w:r w:rsidR="00EF3B59">
        <w:rPr>
          <w:rFonts w:ascii="Arial" w:hAnsi="Arial" w:cs="Arial"/>
          <w:sz w:val="22"/>
          <w:szCs w:val="22"/>
        </w:rPr>
        <w:t xml:space="preserve"> A consultation paper canvassing two options for resolving this issue was released in late September</w:t>
      </w:r>
      <w:r w:rsidR="00DF234E">
        <w:rPr>
          <w:rFonts w:ascii="Arial" w:hAnsi="Arial" w:cs="Arial"/>
          <w:sz w:val="22"/>
          <w:szCs w:val="22"/>
        </w:rPr>
        <w:t xml:space="preserve"> 2009, with comments closing on 15 October</w:t>
      </w:r>
      <w:r w:rsidR="00C250EA">
        <w:rPr>
          <w:rFonts w:ascii="Arial" w:hAnsi="Arial" w:cs="Arial"/>
          <w:sz w:val="22"/>
          <w:szCs w:val="22"/>
        </w:rPr>
        <w:t xml:space="preserve"> 2009</w:t>
      </w:r>
      <w:r w:rsidR="00DF234E">
        <w:rPr>
          <w:rFonts w:ascii="Arial" w:hAnsi="Arial" w:cs="Arial"/>
          <w:sz w:val="22"/>
          <w:szCs w:val="22"/>
        </w:rPr>
        <w:t>.</w:t>
      </w:r>
    </w:p>
    <w:p w:rsidR="0080122D" w:rsidRDefault="0080122D" w:rsidP="004A4B79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0122D" w:rsidRDefault="00C250EA" w:rsidP="004A4B79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00495">
        <w:rPr>
          <w:rFonts w:ascii="Arial" w:hAnsi="Arial" w:cs="Arial"/>
          <w:sz w:val="22"/>
          <w:szCs w:val="22"/>
        </w:rPr>
        <w:t>he Annual Gas Market Review (AGMR)</w:t>
      </w:r>
      <w:r>
        <w:rPr>
          <w:rFonts w:ascii="Arial" w:hAnsi="Arial" w:cs="Arial"/>
          <w:sz w:val="22"/>
          <w:szCs w:val="22"/>
        </w:rPr>
        <w:t xml:space="preserve"> was initiated in December 2009</w:t>
      </w:r>
      <w:r w:rsidR="0080122D">
        <w:rPr>
          <w:rFonts w:ascii="Arial" w:hAnsi="Arial" w:cs="Arial"/>
          <w:sz w:val="22"/>
          <w:szCs w:val="22"/>
        </w:rPr>
        <w:t xml:space="preserve">. The purpose of the </w:t>
      </w:r>
      <w:r w:rsidR="00BD06B5">
        <w:rPr>
          <w:rFonts w:ascii="Arial" w:hAnsi="Arial" w:cs="Arial"/>
          <w:sz w:val="22"/>
          <w:szCs w:val="22"/>
        </w:rPr>
        <w:t>AGMR</w:t>
      </w:r>
      <w:r w:rsidR="00BD06B5" w:rsidRPr="00824242">
        <w:rPr>
          <w:rFonts w:ascii="Arial" w:hAnsi="Arial" w:cs="Arial"/>
          <w:sz w:val="22"/>
          <w:szCs w:val="22"/>
        </w:rPr>
        <w:t xml:space="preserve"> </w:t>
      </w:r>
      <w:r w:rsidR="003D654B">
        <w:rPr>
          <w:rFonts w:ascii="Arial" w:hAnsi="Arial" w:cs="Arial"/>
          <w:sz w:val="22"/>
          <w:szCs w:val="22"/>
        </w:rPr>
        <w:t xml:space="preserve">is </w:t>
      </w:r>
      <w:r w:rsidR="0080122D">
        <w:rPr>
          <w:rFonts w:ascii="Arial" w:hAnsi="Arial" w:cs="Arial"/>
          <w:sz w:val="22"/>
          <w:szCs w:val="22"/>
        </w:rPr>
        <w:t>to</w:t>
      </w:r>
      <w:r w:rsidR="00000495">
        <w:rPr>
          <w:rFonts w:ascii="Arial" w:hAnsi="Arial" w:cs="Arial"/>
          <w:sz w:val="22"/>
          <w:szCs w:val="22"/>
        </w:rPr>
        <w:t xml:space="preserve"> inform Government decision-</w:t>
      </w:r>
      <w:r w:rsidR="0080122D" w:rsidRPr="00824242">
        <w:rPr>
          <w:rFonts w:ascii="Arial" w:hAnsi="Arial" w:cs="Arial"/>
          <w:sz w:val="22"/>
          <w:szCs w:val="22"/>
        </w:rPr>
        <w:t xml:space="preserve">making in relation to issues of security of supply, more effective resource management and the development of a more competitive </w:t>
      </w:r>
      <w:smartTag w:uri="urn:schemas-microsoft-com:office:smarttags" w:element="State">
        <w:smartTag w:uri="urn:schemas-microsoft-com:office:smarttags" w:element="place">
          <w:r w:rsidR="0080122D" w:rsidRPr="0082424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80122D" w:rsidRPr="00824242">
        <w:rPr>
          <w:rFonts w:ascii="Arial" w:hAnsi="Arial" w:cs="Arial"/>
          <w:sz w:val="22"/>
          <w:szCs w:val="22"/>
        </w:rPr>
        <w:t xml:space="preserve"> gas market</w:t>
      </w:r>
      <w:r w:rsidR="0080122D">
        <w:rPr>
          <w:rFonts w:ascii="Arial" w:hAnsi="Arial" w:cs="Arial"/>
          <w:sz w:val="22"/>
          <w:szCs w:val="22"/>
        </w:rPr>
        <w:t>.</w:t>
      </w:r>
    </w:p>
    <w:p w:rsidR="0080122D" w:rsidRDefault="0080122D" w:rsidP="004A4B79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0122D" w:rsidRDefault="00B42332" w:rsidP="004A4B79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2010 </w:t>
      </w:r>
      <w:r w:rsidR="00000495">
        <w:rPr>
          <w:rFonts w:ascii="Arial" w:hAnsi="Arial" w:cs="Arial"/>
          <w:sz w:val="22"/>
          <w:szCs w:val="22"/>
        </w:rPr>
        <w:t>AGMR</w:t>
      </w:r>
      <w:r>
        <w:rPr>
          <w:rFonts w:ascii="Arial" w:hAnsi="Arial" w:cs="Arial"/>
          <w:sz w:val="22"/>
          <w:szCs w:val="22"/>
        </w:rPr>
        <w:t xml:space="preserve"> Report</w:t>
      </w:r>
      <w:r w:rsidR="003D65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0122D">
        <w:rPr>
          <w:rFonts w:ascii="Arial" w:hAnsi="Arial" w:cs="Arial"/>
          <w:sz w:val="22"/>
          <w:szCs w:val="22"/>
        </w:rPr>
        <w:t>McLennan Magasanik Associates</w:t>
      </w:r>
      <w:r w:rsidR="0080122D" w:rsidRPr="0013695F">
        <w:rPr>
          <w:rFonts w:ascii="Arial" w:hAnsi="Arial" w:cs="Arial"/>
          <w:sz w:val="22"/>
          <w:szCs w:val="22"/>
        </w:rPr>
        <w:t xml:space="preserve"> </w:t>
      </w:r>
      <w:r w:rsidR="00BD06B5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engaged to undertake</w:t>
      </w:r>
      <w:r w:rsidR="0080122D" w:rsidRPr="0013695F">
        <w:rPr>
          <w:rFonts w:ascii="Arial" w:hAnsi="Arial" w:cs="Arial"/>
          <w:sz w:val="22"/>
          <w:szCs w:val="22"/>
        </w:rPr>
        <w:t xml:space="preserve"> </w:t>
      </w:r>
      <w:r w:rsidR="0080122D">
        <w:rPr>
          <w:rFonts w:ascii="Arial" w:hAnsi="Arial" w:cs="Arial"/>
          <w:sz w:val="22"/>
          <w:szCs w:val="22"/>
        </w:rPr>
        <w:t>modelling and analysis on a range of issues relevant to the future of</w:t>
      </w:r>
      <w:r w:rsidR="003D654B">
        <w:rPr>
          <w:rFonts w:ascii="Arial" w:hAnsi="Arial" w:cs="Arial"/>
          <w:sz w:val="22"/>
          <w:szCs w:val="22"/>
        </w:rPr>
        <w:t xml:space="preserve"> the</w:t>
      </w:r>
      <w:r w:rsidR="0080122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(and broader</w:t>
      </w:r>
      <w:r w:rsidR="0080122D">
        <w:rPr>
          <w:rFonts w:ascii="Arial" w:hAnsi="Arial" w:cs="Arial"/>
          <w:sz w:val="22"/>
          <w:szCs w:val="22"/>
        </w:rPr>
        <w:t xml:space="preserve"> </w:t>
      </w:r>
      <w:r w:rsidR="00D60D1F">
        <w:rPr>
          <w:rFonts w:ascii="Arial" w:hAnsi="Arial" w:cs="Arial"/>
          <w:sz w:val="22"/>
          <w:szCs w:val="22"/>
        </w:rPr>
        <w:t>e</w:t>
      </w:r>
      <w:r w:rsidR="0080122D" w:rsidRPr="000D4008">
        <w:rPr>
          <w:rFonts w:ascii="Arial" w:hAnsi="Arial" w:cs="Arial"/>
          <w:sz w:val="22"/>
          <w:szCs w:val="22"/>
        </w:rPr>
        <w:t>astern Australian</w:t>
      </w:r>
      <w:r>
        <w:rPr>
          <w:rFonts w:ascii="Arial" w:hAnsi="Arial" w:cs="Arial"/>
          <w:sz w:val="22"/>
          <w:szCs w:val="22"/>
        </w:rPr>
        <w:t xml:space="preserve">) </w:t>
      </w:r>
      <w:r w:rsidR="0080122D" w:rsidRPr="000D4008">
        <w:rPr>
          <w:rFonts w:ascii="Arial" w:hAnsi="Arial" w:cs="Arial"/>
          <w:sz w:val="22"/>
          <w:szCs w:val="22"/>
        </w:rPr>
        <w:t xml:space="preserve">gas market, </w:t>
      </w:r>
      <w:r w:rsidR="0080122D">
        <w:rPr>
          <w:rFonts w:ascii="Arial" w:hAnsi="Arial" w:cs="Arial"/>
          <w:sz w:val="22"/>
          <w:szCs w:val="22"/>
        </w:rPr>
        <w:t xml:space="preserve">including: </w:t>
      </w:r>
    </w:p>
    <w:p w:rsidR="00D60D1F" w:rsidRDefault="0080122D" w:rsidP="00097A4C">
      <w:pPr>
        <w:numPr>
          <w:ilvl w:val="0"/>
          <w:numId w:val="4"/>
        </w:numPr>
        <w:tabs>
          <w:tab w:val="clear" w:pos="1440"/>
          <w:tab w:val="num" w:pos="1080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LNG </w:t>
      </w:r>
      <w:r w:rsidR="003D654B">
        <w:rPr>
          <w:rFonts w:ascii="Arial" w:hAnsi="Arial" w:cs="Arial"/>
          <w:sz w:val="22"/>
          <w:szCs w:val="22"/>
        </w:rPr>
        <w:t xml:space="preserve">industry </w:t>
      </w:r>
      <w:r>
        <w:rPr>
          <w:rFonts w:ascii="Arial" w:hAnsi="Arial" w:cs="Arial"/>
          <w:sz w:val="22"/>
          <w:szCs w:val="22"/>
        </w:rPr>
        <w:t xml:space="preserve">development; </w:t>
      </w:r>
    </w:p>
    <w:p w:rsidR="00D60D1F" w:rsidRDefault="0080122D" w:rsidP="00097A4C">
      <w:pPr>
        <w:numPr>
          <w:ilvl w:val="0"/>
          <w:numId w:val="4"/>
        </w:numPr>
        <w:tabs>
          <w:tab w:val="clear" w:pos="1440"/>
          <w:tab w:val="num" w:pos="1080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resource levels;</w:t>
      </w:r>
    </w:p>
    <w:p w:rsidR="00D60D1F" w:rsidRDefault="0080122D" w:rsidP="00097A4C">
      <w:pPr>
        <w:numPr>
          <w:ilvl w:val="0"/>
          <w:numId w:val="4"/>
        </w:numPr>
        <w:tabs>
          <w:tab w:val="clear" w:pos="1440"/>
          <w:tab w:val="num" w:pos="1080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supply-demand balance; </w:t>
      </w:r>
    </w:p>
    <w:p w:rsidR="00D60D1F" w:rsidRDefault="0080122D" w:rsidP="00097A4C">
      <w:pPr>
        <w:numPr>
          <w:ilvl w:val="0"/>
          <w:numId w:val="4"/>
        </w:numPr>
        <w:tabs>
          <w:tab w:val="clear" w:pos="1440"/>
          <w:tab w:val="num" w:pos="1080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infrastructure constraints; and </w:t>
      </w:r>
    </w:p>
    <w:p w:rsidR="0080122D" w:rsidRDefault="0080122D" w:rsidP="00097A4C">
      <w:pPr>
        <w:numPr>
          <w:ilvl w:val="0"/>
          <w:numId w:val="4"/>
        </w:numPr>
        <w:tabs>
          <w:tab w:val="clear" w:pos="1440"/>
          <w:tab w:val="num" w:pos="1080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gas pricing. </w:t>
      </w:r>
    </w:p>
    <w:p w:rsidR="0080122D" w:rsidRDefault="0080122D" w:rsidP="004A4B79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0122D" w:rsidRDefault="0080122D" w:rsidP="00376B27">
      <w:pPr>
        <w:numPr>
          <w:ilvl w:val="3"/>
          <w:numId w:val="3"/>
        </w:numPr>
        <w:tabs>
          <w:tab w:val="clear" w:pos="288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Industry stakeholders </w:t>
      </w:r>
      <w:r w:rsidR="0050650F">
        <w:rPr>
          <w:rFonts w:ascii="Arial" w:hAnsi="Arial" w:cs="Arial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 </w:t>
      </w:r>
      <w:r w:rsidR="00B42332">
        <w:rPr>
          <w:rFonts w:ascii="Arial" w:hAnsi="Arial" w:cs="Arial"/>
          <w:sz w:val="22"/>
          <w:szCs w:val="22"/>
        </w:rPr>
        <w:t xml:space="preserve">consulted extensively throughout the </w:t>
      </w:r>
      <w:r w:rsidR="00BD06B5">
        <w:rPr>
          <w:rFonts w:ascii="Arial" w:hAnsi="Arial" w:cs="Arial"/>
          <w:sz w:val="22"/>
          <w:szCs w:val="22"/>
        </w:rPr>
        <w:t xml:space="preserve">AGMR </w:t>
      </w:r>
      <w:r w:rsidR="00B42332">
        <w:rPr>
          <w:rFonts w:ascii="Arial" w:hAnsi="Arial" w:cs="Arial"/>
          <w:sz w:val="22"/>
          <w:szCs w:val="22"/>
        </w:rPr>
        <w:t xml:space="preserve">process </w:t>
      </w:r>
      <w:r>
        <w:rPr>
          <w:rFonts w:ascii="Arial" w:hAnsi="Arial" w:cs="Arial"/>
          <w:sz w:val="22"/>
          <w:szCs w:val="22"/>
        </w:rPr>
        <w:t xml:space="preserve">and </w:t>
      </w:r>
      <w:r w:rsidR="003D654B">
        <w:rPr>
          <w:rFonts w:ascii="Arial" w:hAnsi="Arial" w:cs="Arial"/>
          <w:sz w:val="22"/>
          <w:szCs w:val="22"/>
        </w:rPr>
        <w:t xml:space="preserve">made </w:t>
      </w:r>
      <w:r w:rsidRPr="002C529D">
        <w:rPr>
          <w:rFonts w:ascii="Arial" w:hAnsi="Arial" w:cs="Arial"/>
          <w:sz w:val="22"/>
          <w:szCs w:val="22"/>
        </w:rPr>
        <w:t>written submissions in response to the</w:t>
      </w:r>
      <w:r w:rsidR="00B42332">
        <w:rPr>
          <w:rFonts w:ascii="Arial" w:hAnsi="Arial" w:cs="Arial"/>
          <w:sz w:val="22"/>
          <w:szCs w:val="22"/>
        </w:rPr>
        <w:t xml:space="preserve"> draft </w:t>
      </w:r>
      <w:r w:rsidR="00BD06B5">
        <w:rPr>
          <w:rFonts w:ascii="Arial" w:hAnsi="Arial" w:cs="Arial"/>
          <w:sz w:val="22"/>
          <w:szCs w:val="22"/>
        </w:rPr>
        <w:t xml:space="preserve">AGMR </w:t>
      </w:r>
      <w:r w:rsidR="00B42332">
        <w:rPr>
          <w:rFonts w:ascii="Arial" w:hAnsi="Arial" w:cs="Arial"/>
          <w:sz w:val="22"/>
          <w:szCs w:val="22"/>
        </w:rPr>
        <w:t>Report</w:t>
      </w:r>
      <w:r w:rsidR="003D654B">
        <w:rPr>
          <w:rFonts w:ascii="Arial" w:hAnsi="Arial" w:cs="Arial"/>
          <w:sz w:val="22"/>
          <w:szCs w:val="22"/>
        </w:rPr>
        <w:t xml:space="preserve">. Submissions were incorporated, as appropriate, into the final </w:t>
      </w:r>
      <w:r w:rsidR="00BD06B5">
        <w:rPr>
          <w:rFonts w:ascii="Arial" w:hAnsi="Arial" w:cs="Arial"/>
          <w:sz w:val="22"/>
          <w:szCs w:val="22"/>
        </w:rPr>
        <w:t xml:space="preserve">AGMR </w:t>
      </w:r>
      <w:r w:rsidR="003D654B">
        <w:rPr>
          <w:rFonts w:ascii="Arial" w:hAnsi="Arial" w:cs="Arial"/>
          <w:sz w:val="22"/>
          <w:szCs w:val="22"/>
        </w:rPr>
        <w:t xml:space="preserve">Report and accompanying Government </w:t>
      </w:r>
      <w:r w:rsidR="009E7D07">
        <w:rPr>
          <w:rFonts w:ascii="Arial" w:hAnsi="Arial" w:cs="Arial"/>
          <w:sz w:val="22"/>
          <w:szCs w:val="22"/>
        </w:rPr>
        <w:t>r</w:t>
      </w:r>
      <w:r w:rsidR="003D654B">
        <w:rPr>
          <w:rFonts w:ascii="Arial" w:hAnsi="Arial" w:cs="Arial"/>
          <w:sz w:val="22"/>
          <w:szCs w:val="22"/>
        </w:rPr>
        <w:t>esponse</w:t>
      </w:r>
      <w:r w:rsidRPr="002C529D">
        <w:rPr>
          <w:rFonts w:ascii="Arial" w:hAnsi="Arial" w:cs="Arial"/>
          <w:sz w:val="22"/>
          <w:szCs w:val="22"/>
        </w:rPr>
        <w:t xml:space="preserve">. </w:t>
      </w:r>
    </w:p>
    <w:p w:rsidR="003D654B" w:rsidRDefault="003D654B" w:rsidP="004A4B79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027F" w:rsidRDefault="0080122D" w:rsidP="00032C5E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E6027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D039F" w:rsidRPr="00E6027F">
        <w:rPr>
          <w:rFonts w:ascii="Arial" w:hAnsi="Arial" w:cs="Arial"/>
          <w:sz w:val="22"/>
          <w:szCs w:val="22"/>
          <w:u w:val="single"/>
        </w:rPr>
        <w:t>approved</w:t>
      </w:r>
      <w:r w:rsidR="0050650F" w:rsidRPr="0050650F">
        <w:rPr>
          <w:rFonts w:ascii="Arial" w:hAnsi="Arial" w:cs="Arial"/>
          <w:sz w:val="22"/>
          <w:szCs w:val="22"/>
        </w:rPr>
        <w:t xml:space="preserve"> a number of Government actions in response to the AGMR Report. </w:t>
      </w:r>
    </w:p>
    <w:p w:rsidR="00E6027F" w:rsidRDefault="00E6027F" w:rsidP="00E6027F">
      <w:pPr>
        <w:pStyle w:val="ListParagraph"/>
        <w:rPr>
          <w:rFonts w:ascii="Arial" w:hAnsi="Arial" w:cs="Arial"/>
          <w:sz w:val="22"/>
          <w:szCs w:val="22"/>
        </w:rPr>
      </w:pPr>
    </w:p>
    <w:p w:rsidR="0050650F" w:rsidRDefault="0050650F" w:rsidP="00097A4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E6027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2575C1" w:rsidRPr="00E6027F">
        <w:rPr>
          <w:rFonts w:ascii="Arial" w:hAnsi="Arial" w:cs="Arial"/>
          <w:sz w:val="22"/>
          <w:szCs w:val="22"/>
          <w:u w:val="single"/>
        </w:rPr>
        <w:t>approved</w:t>
      </w:r>
      <w:r w:rsidR="00ED039F" w:rsidRPr="0050650F">
        <w:rPr>
          <w:rFonts w:ascii="Arial" w:hAnsi="Arial" w:cs="Arial"/>
          <w:sz w:val="22"/>
          <w:szCs w:val="22"/>
        </w:rPr>
        <w:t xml:space="preserve"> </w:t>
      </w:r>
      <w:r w:rsidR="0080122D" w:rsidRPr="0050650F">
        <w:rPr>
          <w:rFonts w:ascii="Arial" w:hAnsi="Arial" w:cs="Arial"/>
          <w:sz w:val="22"/>
          <w:szCs w:val="22"/>
        </w:rPr>
        <w:t>the</w:t>
      </w:r>
      <w:r w:rsidRPr="0050650F">
        <w:rPr>
          <w:rFonts w:ascii="Arial" w:hAnsi="Arial" w:cs="Arial"/>
          <w:sz w:val="22"/>
          <w:szCs w:val="22"/>
        </w:rPr>
        <w:t xml:space="preserve"> release of the</w:t>
      </w:r>
      <w:r w:rsidR="00ED039F" w:rsidRPr="0050650F">
        <w:rPr>
          <w:rFonts w:ascii="Arial" w:hAnsi="Arial" w:cs="Arial"/>
          <w:sz w:val="22"/>
          <w:szCs w:val="22"/>
        </w:rPr>
        <w:t xml:space="preserve"> </w:t>
      </w:r>
      <w:r w:rsidRPr="0050650F">
        <w:rPr>
          <w:rFonts w:ascii="Arial" w:hAnsi="Arial" w:cs="Arial"/>
          <w:sz w:val="22"/>
          <w:szCs w:val="22"/>
        </w:rPr>
        <w:t>final AGMR Report and</w:t>
      </w:r>
      <w:r w:rsidR="00ED039F" w:rsidRPr="0050650F">
        <w:rPr>
          <w:rFonts w:ascii="Arial" w:hAnsi="Arial" w:cs="Arial"/>
          <w:sz w:val="22"/>
          <w:szCs w:val="22"/>
        </w:rPr>
        <w:t xml:space="preserve"> Government </w:t>
      </w:r>
      <w:r w:rsidRPr="0050650F">
        <w:rPr>
          <w:rFonts w:ascii="Arial" w:hAnsi="Arial" w:cs="Arial"/>
          <w:sz w:val="22"/>
          <w:szCs w:val="22"/>
        </w:rPr>
        <w:t xml:space="preserve">actions to industry stakeholders. </w:t>
      </w:r>
    </w:p>
    <w:p w:rsidR="00097A4C" w:rsidRPr="00E6027F" w:rsidRDefault="00097A4C" w:rsidP="00097A4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:rsidR="0080122D" w:rsidRPr="0080122D" w:rsidRDefault="0080122D" w:rsidP="00032C5E">
      <w:pPr>
        <w:numPr>
          <w:ilvl w:val="3"/>
          <w:numId w:val="3"/>
        </w:numPr>
        <w:tabs>
          <w:tab w:val="clear" w:pos="288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6027F">
        <w:rPr>
          <w:rFonts w:ascii="Arial" w:hAnsi="Arial" w:cs="Arial"/>
          <w:i/>
          <w:sz w:val="22"/>
          <w:szCs w:val="22"/>
          <w:u w:val="single"/>
        </w:rPr>
        <w:t>At</w:t>
      </w:r>
      <w:r w:rsidRPr="00C206D7">
        <w:rPr>
          <w:rFonts w:ascii="Arial" w:hAnsi="Arial" w:cs="Arial"/>
          <w:i/>
          <w:sz w:val="22"/>
          <w:szCs w:val="22"/>
          <w:u w:val="single"/>
        </w:rPr>
        <w:t>tachments:</w:t>
      </w:r>
    </w:p>
    <w:p w:rsidR="0080122D" w:rsidRPr="0015649D" w:rsidRDefault="00CD61C5" w:rsidP="00097A4C">
      <w:pPr>
        <w:numPr>
          <w:ilvl w:val="0"/>
          <w:numId w:val="5"/>
        </w:numPr>
        <w:spacing w:before="120"/>
        <w:ind w:left="1078" w:hanging="539"/>
        <w:jc w:val="both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80122D" w:rsidRPr="00097A4C">
          <w:rPr>
            <w:rStyle w:val="Hyperlink"/>
            <w:rFonts w:ascii="Arial" w:hAnsi="Arial" w:cs="Arial"/>
            <w:sz w:val="22"/>
            <w:szCs w:val="22"/>
          </w:rPr>
          <w:t>2010 Annual Gas Market Review Report</w:t>
        </w:r>
      </w:hyperlink>
      <w:r w:rsidR="0015649D" w:rsidRPr="00E6027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0122D" w:rsidRPr="00E6027F" w:rsidRDefault="0080122D" w:rsidP="00355394">
      <w:pPr>
        <w:ind w:left="1080"/>
        <w:jc w:val="both"/>
        <w:rPr>
          <w:rFonts w:ascii="Arial" w:hAnsi="Arial" w:cs="Arial"/>
          <w:sz w:val="22"/>
          <w:szCs w:val="22"/>
        </w:rPr>
      </w:pPr>
    </w:p>
    <w:sectPr w:rsidR="0080122D" w:rsidRPr="00E6027F" w:rsidSect="00E6027F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8B" w:rsidRDefault="002C228B">
      <w:r>
        <w:separator/>
      </w:r>
    </w:p>
  </w:endnote>
  <w:endnote w:type="continuationSeparator" w:id="0">
    <w:p w:rsidR="002C228B" w:rsidRDefault="002C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79" w:rsidRPr="001141E1" w:rsidRDefault="004A4B79" w:rsidP="0065026F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8B" w:rsidRDefault="002C228B">
      <w:r>
        <w:separator/>
      </w:r>
    </w:p>
  </w:footnote>
  <w:footnote w:type="continuationSeparator" w:id="0">
    <w:p w:rsidR="002C228B" w:rsidRDefault="002C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79" w:rsidRPr="000400F9" w:rsidRDefault="00070908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B7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A4B79">
      <w:rPr>
        <w:rFonts w:ascii="Arial" w:hAnsi="Arial" w:cs="Arial"/>
        <w:b/>
        <w:sz w:val="22"/>
        <w:szCs w:val="22"/>
        <w:u w:val="single"/>
      </w:rPr>
      <w:t>month year</w:t>
    </w:r>
  </w:p>
  <w:p w:rsidR="004A4B79" w:rsidRDefault="004A4B7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A4B79" w:rsidRDefault="004A4B7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A4B79" w:rsidRPr="00F10DF9" w:rsidRDefault="004A4B79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79" w:rsidRPr="000400F9" w:rsidRDefault="00070908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B7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A4B79">
      <w:rPr>
        <w:rFonts w:ascii="Arial" w:hAnsi="Arial" w:cs="Arial"/>
        <w:b/>
        <w:sz w:val="22"/>
        <w:szCs w:val="22"/>
        <w:u w:val="single"/>
      </w:rPr>
      <w:t>July 2010</w:t>
    </w:r>
  </w:p>
  <w:p w:rsidR="004A4B79" w:rsidRDefault="004A4B79" w:rsidP="0045260B">
    <w:pPr>
      <w:pStyle w:val="Header"/>
      <w:tabs>
        <w:tab w:val="clear" w:pos="4153"/>
        <w:tab w:val="clear" w:pos="8306"/>
        <w:tab w:val="center" w:pos="-540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Annual Gas Market Review – Consultancy Report and Proposed Government Response</w:t>
    </w:r>
  </w:p>
  <w:p w:rsidR="004A4B79" w:rsidRDefault="004A4B79" w:rsidP="0045260B">
    <w:pPr>
      <w:pStyle w:val="Header"/>
      <w:tabs>
        <w:tab w:val="clear" w:pos="4153"/>
        <w:tab w:val="clear" w:pos="8306"/>
        <w:tab w:val="center" w:pos="-540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4A4B79" w:rsidRPr="00F10DF9" w:rsidRDefault="004A4B79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7CB4"/>
    <w:multiLevelType w:val="multilevel"/>
    <w:tmpl w:val="37F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415D3"/>
    <w:multiLevelType w:val="hybridMultilevel"/>
    <w:tmpl w:val="0D0E199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AB2AC6"/>
    <w:multiLevelType w:val="hybridMultilevel"/>
    <w:tmpl w:val="84645EC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C37D0E"/>
    <w:multiLevelType w:val="hybridMultilevel"/>
    <w:tmpl w:val="37F06F0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F"/>
    <w:rsid w:val="00000495"/>
    <w:rsid w:val="00032C5E"/>
    <w:rsid w:val="00070908"/>
    <w:rsid w:val="00097A4C"/>
    <w:rsid w:val="000C208A"/>
    <w:rsid w:val="000D490D"/>
    <w:rsid w:val="0011322D"/>
    <w:rsid w:val="0015649D"/>
    <w:rsid w:val="001622DB"/>
    <w:rsid w:val="00176938"/>
    <w:rsid w:val="0021784A"/>
    <w:rsid w:val="002325B6"/>
    <w:rsid w:val="002575C1"/>
    <w:rsid w:val="002659F3"/>
    <w:rsid w:val="002819E1"/>
    <w:rsid w:val="002C228B"/>
    <w:rsid w:val="002F2027"/>
    <w:rsid w:val="00317E09"/>
    <w:rsid w:val="00355394"/>
    <w:rsid w:val="00376B27"/>
    <w:rsid w:val="00384AD7"/>
    <w:rsid w:val="003D654B"/>
    <w:rsid w:val="00420EC1"/>
    <w:rsid w:val="00427B34"/>
    <w:rsid w:val="0045260B"/>
    <w:rsid w:val="004A4B79"/>
    <w:rsid w:val="004D6E76"/>
    <w:rsid w:val="004F0E16"/>
    <w:rsid w:val="004F3F39"/>
    <w:rsid w:val="004F47F8"/>
    <w:rsid w:val="0050650F"/>
    <w:rsid w:val="005476CB"/>
    <w:rsid w:val="0059301B"/>
    <w:rsid w:val="005A1FC7"/>
    <w:rsid w:val="005B36A4"/>
    <w:rsid w:val="005C429D"/>
    <w:rsid w:val="006259DF"/>
    <w:rsid w:val="0065026F"/>
    <w:rsid w:val="00650780"/>
    <w:rsid w:val="006C4EAF"/>
    <w:rsid w:val="00712C49"/>
    <w:rsid w:val="00722E56"/>
    <w:rsid w:val="007620AE"/>
    <w:rsid w:val="007962E2"/>
    <w:rsid w:val="007C55EF"/>
    <w:rsid w:val="007C6A91"/>
    <w:rsid w:val="007E21F1"/>
    <w:rsid w:val="007F773E"/>
    <w:rsid w:val="0080122D"/>
    <w:rsid w:val="008B58D7"/>
    <w:rsid w:val="008F67E9"/>
    <w:rsid w:val="00906FEB"/>
    <w:rsid w:val="009E7D07"/>
    <w:rsid w:val="00A46864"/>
    <w:rsid w:val="00A72368"/>
    <w:rsid w:val="00A97DC8"/>
    <w:rsid w:val="00AA6F5C"/>
    <w:rsid w:val="00AC0FB2"/>
    <w:rsid w:val="00AE74A8"/>
    <w:rsid w:val="00B42332"/>
    <w:rsid w:val="00B815EA"/>
    <w:rsid w:val="00BD06B5"/>
    <w:rsid w:val="00C250EA"/>
    <w:rsid w:val="00CB1710"/>
    <w:rsid w:val="00CD61C5"/>
    <w:rsid w:val="00CF3357"/>
    <w:rsid w:val="00D51DF6"/>
    <w:rsid w:val="00D60D1F"/>
    <w:rsid w:val="00D91E71"/>
    <w:rsid w:val="00DA1808"/>
    <w:rsid w:val="00DF234E"/>
    <w:rsid w:val="00DF285C"/>
    <w:rsid w:val="00E11EE5"/>
    <w:rsid w:val="00E6027F"/>
    <w:rsid w:val="00ED039F"/>
    <w:rsid w:val="00EE7B3A"/>
    <w:rsid w:val="00EF3B59"/>
    <w:rsid w:val="00F767C3"/>
    <w:rsid w:val="00F90ABC"/>
    <w:rsid w:val="00F9496B"/>
    <w:rsid w:val="00FA4246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26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6502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76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6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27F"/>
    <w:pPr>
      <w:ind w:left="720"/>
    </w:pPr>
  </w:style>
  <w:style w:type="character" w:styleId="FollowedHyperlink">
    <w:name w:val="FollowedHyperlink"/>
    <w:basedOn w:val="DefaultParagraphFont"/>
    <w:rsid w:val="00097A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nn_gas_mkt_rev_mma_report_to_deedi_23-06-2010%5b1%5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1865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Base>https://www.cabinet.qld.gov.au/documents/2010/Jul/Annual Gas Market Review/</HyperlinkBase>
  <HLinks>
    <vt:vector size="6" baseType="variant">
      <vt:variant>
        <vt:i4>3014776</vt:i4>
      </vt:variant>
      <vt:variant>
        <vt:i4>0</vt:i4>
      </vt:variant>
      <vt:variant>
        <vt:i4>0</vt:i4>
      </vt:variant>
      <vt:variant>
        <vt:i4>5</vt:i4>
      </vt:variant>
      <vt:variant>
        <vt:lpwstr>Attachments/ann_gas_mkt_rev_mma_report_to_deedi_23-06-2010%5b1%5d.pdf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2011-04-04T07:57:00Z</cp:lastPrinted>
  <dcterms:created xsi:type="dcterms:W3CDTF">2017-10-24T22:19:00Z</dcterms:created>
  <dcterms:modified xsi:type="dcterms:W3CDTF">2018-03-06T01:02:00Z</dcterms:modified>
  <cp:category>Gas</cp:category>
</cp:coreProperties>
</file>